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spacing w:line="580" w:lineRule="exact"/>
        <w:ind w:firstLine="880" w:firstLineChars="20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本次预警（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Ⅲ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级响应）期间</w:t>
      </w:r>
    </w:p>
    <w:p>
      <w:pPr>
        <w:spacing w:line="580" w:lineRule="exact"/>
        <w:ind w:firstLine="880" w:firstLineChars="20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采取的应急响应措施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  <w:t>健康防护指引：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（1）提醒儿童、老年人和心脏病、肺病患者以及过敏性疾病患者应当留在室内，停止户外运动，一般人群减少户外运动。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（2）中小学、幼儿园停止户外课程及活动。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（3）医疗卫生机构加强对呼吸类疾病患者的防护宣传和就医指导。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建议性措施：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（1）倡导公众绿色出行和绿色生活，尽量选择乘坐公共交通工具或电动汽车等方式出行。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（2）加强公交运力保障。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强制性减排措施：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（1）对工业企业管控，依据重污染天气应急减排清单，通过停止生产线或主要产排污环节（设备）、提高治污效率等方式，严格落实相应的应急减排措施。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（2）停止室外建筑拆除、喷涂、粉刷、切割、护坡喷浆作业。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（3）除涉及重大民生工程、安全生产及应急抢险任务外，停止所有施工工地的土石方作业（包括停止土石方开挖、回填、场内倒运、掺拌石灰、混凝土剔凿等作业，停止建筑工程配套道路和管沟开挖作业），渣土存放点全面停止生产、运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（4）未安装密闭装置的建筑垃圾、渣土、砂石料等运输车辆禁止上路行驶。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（5）采取科学措施，根据空气温度及相对湿度，对本行政区域内主要道路适时调整湿法作业频次，降低湿法作业频次时应适当加大吸扫作业力度。</w:t>
      </w:r>
    </w:p>
    <w:sectPr>
      <w:headerReference r:id="rId3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606CF"/>
    <w:rsid w:val="0E715E43"/>
    <w:rsid w:val="14721974"/>
    <w:rsid w:val="172C2ED3"/>
    <w:rsid w:val="203C10A3"/>
    <w:rsid w:val="284F3645"/>
    <w:rsid w:val="3D3A2BA1"/>
    <w:rsid w:val="3E843456"/>
    <w:rsid w:val="422057D4"/>
    <w:rsid w:val="42A56622"/>
    <w:rsid w:val="58856B7A"/>
    <w:rsid w:val="59894793"/>
    <w:rsid w:val="5FAC3144"/>
    <w:rsid w:val="64384453"/>
    <w:rsid w:val="73C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Young帆</cp:lastModifiedBy>
  <dcterms:modified xsi:type="dcterms:W3CDTF">2021-03-09T06:29:05Z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992477630_cloud</vt:lpwstr>
  </property>
</Properties>
</file>